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8AC" w:rsidRDefault="006A58A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Questionnaire:</w:t>
      </w: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color w:val="FF0000"/>
          <w:sz w:val="28"/>
          <w:szCs w:val="28"/>
        </w:rPr>
        <w:t>1) Should God be held to a higher standard than the rest of us?</w:t>
      </w: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color w:val="0000FF"/>
          <w:sz w:val="28"/>
          <w:szCs w:val="28"/>
        </w:rPr>
        <w:t>2) Should holders of high Government offices be held to a higher standard than the rest of us?</w:t>
      </w: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color w:val="008000"/>
          <w:sz w:val="28"/>
          <w:szCs w:val="28"/>
        </w:rPr>
        <w:t>3) If Clinton were not president, should he have been indicted?  Would he have been indicted?</w:t>
      </w: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4) Should a president be impeached for what Clinton did?</w:t>
      </w: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British colonists brought the concepts of limited government and individual freedom to the New World.</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i/>
          <w:iCs/>
          <w:sz w:val="20"/>
          <w:szCs w:val="20"/>
        </w:rPr>
      </w:pPr>
      <w:r>
        <w:rPr>
          <w:rFonts w:ascii="Arial" w:hAnsi="Arial" w:cs="Arial"/>
          <w:sz w:val="20"/>
          <w:szCs w:val="20"/>
        </w:rPr>
        <w:lastRenderedPageBreak/>
        <w:t xml:space="preserve">The early laws of Virginia, Massachusetts, and other colonies reflected interest in the reform of criminal procedure that was emerging in Great Britain. A notable event in the history of civil liberties was the successful defense (1735) in New York by the colonial lawyer Andrew Hamilton of the printer and publisher John Peter Zenger, who had been charged with seditious libel for criticizing the colonial government in his publication the </w:t>
      </w:r>
      <w:r>
        <w:rPr>
          <w:rFonts w:ascii="Arial" w:hAnsi="Arial" w:cs="Arial"/>
          <w:i/>
          <w:iCs/>
          <w:sz w:val="20"/>
          <w:szCs w:val="20"/>
        </w:rPr>
        <w:t>New York Weekly Journal.</w:t>
      </w:r>
    </w:p>
    <w:p w:rsidR="006A58AC" w:rsidRDefault="006A58AC">
      <w:pPr>
        <w:widowControl w:val="0"/>
        <w:autoSpaceDE w:val="0"/>
        <w:autoSpaceDN w:val="0"/>
        <w:adjustRightInd w:val="0"/>
        <w:spacing w:after="0" w:line="240" w:lineRule="auto"/>
        <w:ind w:right="180"/>
        <w:rPr>
          <w:rFonts w:ascii="Arial" w:hAnsi="Arial" w:cs="Arial"/>
          <w:sz w:val="24"/>
          <w:szCs w:val="24"/>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events leading to the American and French revolutions inspired writings that laid the foundations for modern ideas of civil liberties by such authors as the French philosophers Voltaire and Jean Jacques Rousseau, the British reformer John Wilkes and the philosopher Jeremy Bentham, the Anglo-American writer Thomas Paine, and the American statesman Thomas Jefferson.</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Declaration of the Rights of Man and of the Citizen in France and the Bill of Rights of the U.S. Constitution formally established libertarian principles as a foundation of modern democracy.</w:t>
      </w:r>
    </w:p>
    <w:p w:rsidR="006A58AC" w:rsidRDefault="006A58AC">
      <w:pPr>
        <w:widowControl w:val="0"/>
        <w:autoSpaceDE w:val="0"/>
        <w:autoSpaceDN w:val="0"/>
        <w:adjustRightInd w:val="0"/>
        <w:spacing w:after="0" w:line="240" w:lineRule="auto"/>
        <w:ind w:right="180"/>
        <w:rPr>
          <w:rFonts w:ascii="Arial" w:hAnsi="Arial" w:cs="Arial"/>
          <w:sz w:val="24"/>
          <w:szCs w:val="24"/>
        </w:rPr>
      </w:pPr>
    </w:p>
    <w:p w:rsidR="006A58AC" w:rsidRDefault="006A58AC">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Although civil liberties are often considered an integral part of democratic government, the principles of limited government and personal freedom were developed in England at a time when political power was held by an aristocratic upper class. Similarly,</w:t>
      </w:r>
      <w:r>
        <w:rPr>
          <w:rFonts w:ascii="Arial" w:hAnsi="Arial" w:cs="Arial"/>
          <w:b/>
          <w:bCs/>
          <w:sz w:val="20"/>
          <w:szCs w:val="20"/>
        </w:rPr>
        <w:t xml:space="preserve"> in the American colonies, many founding fathers did not favor democracy in the modern sense</w:t>
      </w:r>
      <w:r>
        <w:rPr>
          <w:rFonts w:ascii="Arial" w:hAnsi="Arial" w:cs="Arial"/>
          <w:sz w:val="20"/>
          <w:szCs w:val="20"/>
        </w:rPr>
        <w:t xml:space="preserve">. Conversely, </w:t>
      </w:r>
      <w:r>
        <w:rPr>
          <w:rFonts w:ascii="Arial" w:hAnsi="Arial" w:cs="Arial"/>
          <w:b/>
          <w:bCs/>
          <w:color w:val="FF0000"/>
          <w:sz w:val="20"/>
          <w:szCs w:val="20"/>
        </w:rPr>
        <w:t>history offers numerous examples of countries in which political power is formally vested in representative assemblies, but enforcement of law is arbitrary or despotic, and minorities have few safeguards against the tyranny of majorities</w:t>
      </w:r>
      <w:r>
        <w:rPr>
          <w:rFonts w:ascii="Arial" w:hAnsi="Arial" w:cs="Arial"/>
          <w:sz w:val="20"/>
          <w:szCs w:val="20"/>
        </w:rPr>
        <w:t>.</w:t>
      </w:r>
    </w:p>
    <w:p w:rsidR="006A58AC" w:rsidRDefault="006A58AC">
      <w:pPr>
        <w:widowControl w:val="0"/>
        <w:autoSpaceDE w:val="0"/>
        <w:autoSpaceDN w:val="0"/>
        <w:adjustRightInd w:val="0"/>
        <w:spacing w:after="0" w:line="240" w:lineRule="auto"/>
        <w:rPr>
          <w:rFonts w:ascii="Arial" w:hAnsi="Arial" w:cs="Arial"/>
          <w:sz w:val="24"/>
          <w:szCs w:val="24"/>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Tocqueville, Alexis Charles Henri Maurice Clérel de</w:t>
      </w:r>
      <w:r>
        <w:rPr>
          <w:rFonts w:ascii="Arial" w:hAnsi="Arial" w:cs="Arial"/>
          <w:sz w:val="26"/>
          <w:szCs w:val="26"/>
        </w:rPr>
        <w:t xml:space="preserve"> </w:t>
      </w:r>
      <w:r>
        <w:rPr>
          <w:rFonts w:ascii="Arial" w:hAnsi="Arial" w:cs="Arial"/>
          <w:sz w:val="20"/>
          <w:szCs w:val="20"/>
        </w:rPr>
        <w:t>(1805-59), French political writer and statesman, whose work on the United States political system became a classic.</w:t>
      </w:r>
    </w:p>
    <w:p w:rsidR="006A58AC" w:rsidRDefault="006A58AC">
      <w:pPr>
        <w:widowControl w:val="0"/>
        <w:autoSpaceDE w:val="0"/>
        <w:autoSpaceDN w:val="0"/>
        <w:adjustRightInd w:val="0"/>
        <w:spacing w:after="0" w:line="240" w:lineRule="auto"/>
        <w:ind w:right="180"/>
        <w:rPr>
          <w:rFonts w:ascii="Arial" w:hAnsi="Arial" w:cs="Arial"/>
          <w:sz w:val="24"/>
          <w:szCs w:val="24"/>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Tocqueville was born July 29, 1805, in Verneuil, and studied law in Paris. With the French publicist Gustave Auguste de Beaumont de la Bonninière, he went abroad in 1831 to study the penal system in the U.S. The two men reported their findings in </w:t>
      </w:r>
      <w:r>
        <w:rPr>
          <w:rFonts w:ascii="Arial" w:hAnsi="Arial" w:cs="Arial"/>
          <w:i/>
          <w:iCs/>
          <w:sz w:val="20"/>
          <w:szCs w:val="20"/>
        </w:rPr>
        <w:t>Du système pénitentiaire aux États-Unis et son application en France</w:t>
      </w:r>
      <w:r>
        <w:rPr>
          <w:rFonts w:ascii="Arial" w:hAnsi="Arial" w:cs="Arial"/>
          <w:sz w:val="20"/>
          <w:szCs w:val="20"/>
        </w:rPr>
        <w:t xml:space="preserve"> (The Penitentiary System in the United States and Its Application in France, 1832). After returning to France in 1832, Tocqueville wrote his most famous work, </w:t>
      </w:r>
      <w:r>
        <w:rPr>
          <w:rFonts w:ascii="Arial" w:hAnsi="Arial" w:cs="Arial"/>
          <w:i/>
          <w:iCs/>
          <w:sz w:val="20"/>
          <w:szCs w:val="20"/>
        </w:rPr>
        <w:t>Democracy in America</w:t>
      </w:r>
      <w:r>
        <w:rPr>
          <w:rFonts w:ascii="Arial" w:hAnsi="Arial" w:cs="Arial"/>
          <w:sz w:val="20"/>
          <w:szCs w:val="20"/>
        </w:rPr>
        <w:t xml:space="preserve"> (2 vol., 1835-40; trans., 4 vol., 1835-40). One of the earliest and most profound studies of American life, it concerns the legislative and administrative systems in the U.S. and the influence of social and political institutions on the habits and manners of the people. Tocqueville maintains in this work that the full development of democracy occurred in the U.S. because conditions there best permitted the diffusion of European social ideas. He was highly critical of certain aspects of American democracy. For example, he believed that </w:t>
      </w:r>
      <w:r>
        <w:rPr>
          <w:rFonts w:ascii="Arial" w:hAnsi="Arial" w:cs="Arial"/>
          <w:b/>
          <w:bCs/>
          <w:color w:val="FF0000"/>
          <w:sz w:val="20"/>
          <w:szCs w:val="20"/>
        </w:rPr>
        <w:t>public opinion tended toward tyranny and that majority rule could be as oppressive as the rule of a despot</w:t>
      </w:r>
      <w:r>
        <w:rPr>
          <w:rFonts w:ascii="Arial" w:hAnsi="Arial" w:cs="Arial"/>
          <w:sz w:val="20"/>
          <w:szCs w:val="20"/>
        </w:rPr>
        <w:t>.</w:t>
      </w:r>
    </w:p>
    <w:p w:rsidR="006A58AC" w:rsidRDefault="006A58AC">
      <w:pPr>
        <w:widowControl w:val="0"/>
        <w:autoSpaceDE w:val="0"/>
        <w:autoSpaceDN w:val="0"/>
        <w:adjustRightInd w:val="0"/>
        <w:spacing w:after="0" w:line="240" w:lineRule="auto"/>
        <w:rPr>
          <w:rFonts w:ascii="MS Sans Serif" w:hAnsi="MS Sans Serif" w:cs="MS Sans Serif"/>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ind w:right="180"/>
        <w:rPr>
          <w:rFonts w:ascii="MS Sans Serif" w:hAnsi="MS Sans Serif" w:cs="MS Sans Serif"/>
          <w:sz w:val="24"/>
          <w:szCs w:val="24"/>
        </w:rPr>
      </w:pPr>
      <w:r>
        <w:rPr>
          <w:rFonts w:ascii="Arial" w:hAnsi="Arial" w:cs="Arial"/>
          <w:sz w:val="20"/>
          <w:szCs w:val="20"/>
        </w:rPr>
        <w:t>Two-person, or dual, games include the largest category of familiar games such as chess, backgammon, and checkers or two-team games such as bridge. (More complex conflicts—</w:t>
      </w:r>
      <w:r>
        <w:rPr>
          <w:rFonts w:ascii="Arial" w:hAnsi="Arial" w:cs="Arial"/>
          <w:i/>
          <w:iCs/>
          <w:sz w:val="20"/>
          <w:szCs w:val="20"/>
        </w:rPr>
        <w:t>n</w:t>
      </w:r>
      <w:r>
        <w:rPr>
          <w:rFonts w:ascii="Arial" w:hAnsi="Arial" w:cs="Arial"/>
          <w:sz w:val="20"/>
          <w:szCs w:val="20"/>
        </w:rPr>
        <w:t xml:space="preserve">-person, or plural, games—include poker, Monopoly, Parcheesi, and any game in which multiple players or teams are involved.) Two-person games have been extensively analyzed by game theorists. A major difficulty that exists, however, in extending the results of two-person theory to </w:t>
      </w:r>
      <w:r>
        <w:rPr>
          <w:rFonts w:ascii="Arial" w:hAnsi="Arial" w:cs="Arial"/>
          <w:i/>
          <w:iCs/>
          <w:sz w:val="20"/>
          <w:szCs w:val="20"/>
        </w:rPr>
        <w:t>n</w:t>
      </w:r>
      <w:r>
        <w:rPr>
          <w:rFonts w:ascii="Arial" w:hAnsi="Arial" w:cs="Arial"/>
          <w:sz w:val="20"/>
          <w:szCs w:val="20"/>
        </w:rPr>
        <w:t xml:space="preserve">-person games is predicting the interaction possible among various players. In most two-party games the choices and expected payoffs at the end of the game are generally well-known, but when three or more players are involved, many </w:t>
      </w:r>
      <w:r>
        <w:rPr>
          <w:rFonts w:ascii="Arial" w:hAnsi="Arial" w:cs="Arial"/>
          <w:sz w:val="20"/>
          <w:szCs w:val="20"/>
        </w:rPr>
        <w:lastRenderedPageBreak/>
        <w:t>interesting but complicating opportunities arise for coalitions, cooperation, and collusion.</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Arial" w:hAnsi="Arial" w:cs="Arial"/>
          <w:b/>
          <w:bCs/>
          <w:color w:val="808080"/>
          <w:sz w:val="20"/>
          <w:szCs w:val="20"/>
        </w:rPr>
      </w:pPr>
      <w:r>
        <w:rPr>
          <w:rFonts w:ascii="Arial" w:hAnsi="Arial" w:cs="Arial"/>
          <w:b/>
          <w:bCs/>
          <w:color w:val="808080"/>
          <w:sz w:val="20"/>
          <w:szCs w:val="20"/>
        </w:rPr>
        <w:t>Federal Trade Commission</w:t>
      </w:r>
      <w:r>
        <w:rPr>
          <w:rFonts w:ascii="Arial" w:hAnsi="Arial" w:cs="Arial"/>
          <w:color w:val="808080"/>
          <w:sz w:val="26"/>
          <w:szCs w:val="26"/>
        </w:rPr>
        <w:t xml:space="preserve"> </w:t>
      </w:r>
      <w:r>
        <w:rPr>
          <w:rFonts w:ascii="Arial" w:hAnsi="Arial" w:cs="Arial"/>
          <w:color w:val="808080"/>
          <w:sz w:val="20"/>
          <w:szCs w:val="20"/>
        </w:rPr>
        <w:t>(FTC), independent agency of the U.S. government created by the Federal Trade Commission Act of 1914. The basic objective of the FTC is to promote free and fair trade competition in the American economy. The commission does so by investigating price-fixing agreements and other unfair methods of competition; prohibiting mergers and price discriminations that may substantially lessen competition or tend toward monopoly; investigating deceptive practices such as false advertising; and regulating packaging and labeling of consumer goods to prevent deception. It provides guidance to business and industry on what they may do under the laws administered by the commission. It also gathers and makes available to Congress, the president, and the public factual data on economic and business conditions.</w:t>
      </w:r>
    </w:p>
    <w:p w:rsidR="006A58AC" w:rsidRDefault="006A58AC">
      <w:pPr>
        <w:widowControl w:val="0"/>
        <w:autoSpaceDE w:val="0"/>
        <w:autoSpaceDN w:val="0"/>
        <w:adjustRightInd w:val="0"/>
        <w:spacing w:after="0" w:line="240" w:lineRule="auto"/>
        <w:rPr>
          <w:rFonts w:ascii="Arial" w:hAnsi="Arial" w:cs="Arial"/>
          <w:b/>
          <w:bCs/>
          <w:color w:val="808080"/>
          <w:sz w:val="20"/>
          <w:szCs w:val="20"/>
        </w:rPr>
      </w:pPr>
    </w:p>
    <w:p w:rsidR="006A58AC" w:rsidRDefault="006A58AC">
      <w:pPr>
        <w:widowControl w:val="0"/>
        <w:autoSpaceDE w:val="0"/>
        <w:autoSpaceDN w:val="0"/>
        <w:adjustRightInd w:val="0"/>
        <w:spacing w:after="0" w:line="240" w:lineRule="auto"/>
        <w:rPr>
          <w:rFonts w:ascii="Arial" w:hAnsi="Arial" w:cs="Arial"/>
          <w:b/>
          <w:bCs/>
          <w:color w:val="808080"/>
          <w:sz w:val="20"/>
          <w:szCs w:val="20"/>
        </w:rPr>
      </w:pPr>
    </w:p>
    <w:p w:rsidR="006A58AC" w:rsidRDefault="006A58AC">
      <w:pPr>
        <w:widowControl w:val="0"/>
        <w:autoSpaceDE w:val="0"/>
        <w:autoSpaceDN w:val="0"/>
        <w:adjustRightInd w:val="0"/>
        <w:spacing w:after="0" w:line="240" w:lineRule="auto"/>
        <w:rPr>
          <w:rFonts w:ascii="Arial" w:hAnsi="Arial" w:cs="Arial"/>
          <w:b/>
          <w:bCs/>
          <w:color w:val="808080"/>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We have seen that it is unacceptable to say that the defeat of so-called "Real Socialism" leaves capitalism as the only model of economic organization. It is necessary to break down the barriers and monopolies which leave so many countries on the margins of development, and to provide all individuals and nations with the basic conditions which will enable them to share in development. This goal calls for programmed and responsible efforts on the part of the entire international community. Stronger nations must offer weaker ones opportunities for taking their place in international life, and the latter must learn how to use these opportunities by making the necessary efforts and sacrifices and by ensuring political and economic stability, the certainty of better prospects for the future, the improvement of workers' skills, and the training of competent business leaders who are conscious of their responsibilities.</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Arial" w:hAnsi="Arial" w:cs="Arial"/>
          <w:b/>
          <w:bCs/>
          <w:sz w:val="20"/>
          <w:szCs w:val="20"/>
        </w:rPr>
        <w:t>--- JOHN PAUL II</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Monophysitism,</w:t>
      </w:r>
      <w:r>
        <w:rPr>
          <w:rFonts w:ascii="Arial" w:hAnsi="Arial" w:cs="Arial"/>
          <w:sz w:val="26"/>
          <w:szCs w:val="26"/>
        </w:rPr>
        <w:t xml:space="preserve"> </w:t>
      </w:r>
      <w:r>
        <w:rPr>
          <w:rFonts w:ascii="Arial" w:hAnsi="Arial" w:cs="Arial"/>
          <w:sz w:val="20"/>
          <w:szCs w:val="20"/>
        </w:rPr>
        <w:t>Christian schismatic sect of the 5th and 6th centuries that maintained that Christ had only one (divine) nature, thereby opposing the orthodox doctrine that he was both divine and human. The Monophysites were mainly confined to the Eastern church and gained little strength in the West.</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After 560 a third faction, the Tritheists, arose; they interpreted the three persons of the Deity as three separate gods and hence were regarded by the other factions as heretics.</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In Egypt, Syria, and Mesopotamia the Monophysite congregations remained strong throughout the controversy. Although finally condemned in 680-81, at the sixth ecumenical council, Monophysitism continues in some churches to this day. The modern Abyssinian church, Armenian church, Coptic church, and Jacobite church are all Monophysitic bodies.</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 xml:space="preserve">Humanism, the revival of classical learning and speculative inquiry beginning in the 15th century in Italy during the early Renaissance, displaced Scholasticism as the principal philosophy of Western Europe </w:t>
      </w:r>
      <w:r>
        <w:rPr>
          <w:rFonts w:ascii="Arial" w:hAnsi="Arial" w:cs="Arial"/>
          <w:color w:val="FF0000"/>
          <w:sz w:val="20"/>
          <w:szCs w:val="20"/>
        </w:rPr>
        <w:t>and deprived church leaders of the monopoly on learning that they had previously held</w:t>
      </w:r>
      <w:r>
        <w:rPr>
          <w:rFonts w:ascii="Arial" w:hAnsi="Arial" w:cs="Arial"/>
          <w:sz w:val="20"/>
          <w:szCs w:val="20"/>
        </w:rPr>
        <w:t>. Laypersons studied ancient literature, and scholars such as the Italian humanist Lorenzo Valla critically appraised translations of the Bible and other documents that formed the basis for much of church dogma and tradition. The invention of printing with movable metal type greatly increased the circulation of books and spread new ideas throughout Europe.</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In 1798 the Kentucky and Virginia Resolutions, pieces of state legislation written by James Madison and Thomas Jefferson, were passed.  Written in response to the Sedition Act of 1798, a federal law that made it a crime to criticize the government of the United States, they state that the states have the right to void federal legislation that they judge to be unconstitutional.</w:t>
      </w: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24"/>
          <w:szCs w:val="24"/>
        </w:rPr>
        <w:t>{Such wonderful laws people do make.  You need someone, older and wiser, telling you what to do.}</w:t>
      </w: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p>
    <w:p w:rsidR="006A58AC" w:rsidRDefault="006A58AC">
      <w:pPr>
        <w:widowControl w:val="0"/>
        <w:autoSpaceDE w:val="0"/>
        <w:autoSpaceDN w:val="0"/>
        <w:adjustRightInd w:val="0"/>
        <w:spacing w:after="0" w:line="240" w:lineRule="auto"/>
        <w:rPr>
          <w:rFonts w:ascii="Times New Roman" w:hAnsi="Times New Roman" w:cs="Times New Roman"/>
          <w:b/>
          <w:bCs/>
          <w:sz w:val="32"/>
          <w:szCs w:val="32"/>
        </w:rPr>
      </w:pPr>
      <w:r>
        <w:rPr>
          <w:rFonts w:ascii="Times New Roman" w:hAnsi="Times New Roman" w:cs="Times New Roman"/>
          <w:b/>
          <w:bCs/>
          <w:sz w:val="32"/>
          <w:szCs w:val="32"/>
        </w:rPr>
        <w:tab/>
        <w:t>Which brings us to the international diamond industry, and the workings of onions.</w:t>
      </w: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The Sherman Antitrust Act of 1890 (see Sherman’s planet) states:</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ind w:left="810" w:hanging="180"/>
        <w:rPr>
          <w:rFonts w:ascii="Times New Roman" w:hAnsi="Times New Roman" w:cs="Times New Roman"/>
          <w:sz w:val="24"/>
          <w:szCs w:val="24"/>
        </w:rPr>
      </w:pPr>
      <w:r>
        <w:rPr>
          <w:rFonts w:ascii="Symbol" w:hAnsi="Symbol" w:cs="Symbol"/>
          <w:b/>
          <w:bCs/>
          <w:i/>
          <w:iCs/>
          <w:sz w:val="24"/>
          <w:szCs w:val="24"/>
        </w:rPr>
        <w:t></w:t>
      </w:r>
      <w:r>
        <w:rPr>
          <w:rFonts w:ascii="Symbol" w:hAnsi="Symbol" w:cs="Symbol"/>
          <w:b/>
          <w:bCs/>
          <w:i/>
          <w:iCs/>
          <w:sz w:val="24"/>
          <w:szCs w:val="24"/>
        </w:rPr>
        <w:tab/>
      </w:r>
      <w:r>
        <w:rPr>
          <w:rFonts w:ascii="Times New Roman" w:hAnsi="Times New Roman" w:cs="Times New Roman"/>
          <w:b/>
          <w:bCs/>
          <w:i/>
          <w:iCs/>
          <w:sz w:val="24"/>
          <w:szCs w:val="24"/>
        </w:rPr>
        <w:t>Section 1 "every contract, combination in the form of trust or otherwise, or conspiracy in restraint of trade or commerce among the several states, or with foreign nations, is declared to be illegal"</w:t>
      </w:r>
    </w:p>
    <w:p w:rsidR="006A58AC" w:rsidRDefault="006A58AC">
      <w:pPr>
        <w:widowControl w:val="0"/>
        <w:autoSpaceDE w:val="0"/>
        <w:autoSpaceDN w:val="0"/>
        <w:adjustRightInd w:val="0"/>
        <w:spacing w:after="0" w:line="240" w:lineRule="auto"/>
        <w:ind w:left="810" w:hanging="180"/>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ind w:left="810" w:hanging="180"/>
        <w:rPr>
          <w:rFonts w:ascii="Times New Roman" w:hAnsi="Times New Roman" w:cs="Times New Roman"/>
          <w:sz w:val="20"/>
          <w:szCs w:val="20"/>
        </w:rPr>
      </w:pPr>
      <w:r>
        <w:rPr>
          <w:rFonts w:ascii="Symbol" w:hAnsi="Symbol" w:cs="Symbol"/>
          <w:b/>
          <w:bCs/>
          <w:i/>
          <w:iCs/>
          <w:sz w:val="24"/>
          <w:szCs w:val="24"/>
        </w:rPr>
        <w:t></w:t>
      </w:r>
      <w:r>
        <w:rPr>
          <w:rFonts w:ascii="Symbol" w:hAnsi="Symbol" w:cs="Symbol"/>
          <w:b/>
          <w:bCs/>
          <w:i/>
          <w:iCs/>
          <w:sz w:val="24"/>
          <w:szCs w:val="24"/>
        </w:rPr>
        <w:tab/>
      </w:r>
      <w:r>
        <w:rPr>
          <w:rFonts w:ascii="Times New Roman" w:hAnsi="Times New Roman" w:cs="Times New Roman"/>
          <w:b/>
          <w:bCs/>
          <w:i/>
          <w:iCs/>
          <w:sz w:val="24"/>
          <w:szCs w:val="24"/>
        </w:rPr>
        <w:t>Section 2 "every person who shall monopolize, or attempt to monopolize with any other person or persons, to monopolize any part of the trade or commerce ...shall be deemed guilty of a felony"</w:t>
      </w:r>
    </w:p>
    <w:p w:rsidR="006A58AC" w:rsidRDefault="006A58AC">
      <w:pPr>
        <w:widowControl w:val="0"/>
        <w:autoSpaceDE w:val="0"/>
        <w:autoSpaceDN w:val="0"/>
        <w:adjustRightInd w:val="0"/>
        <w:spacing w:after="0" w:line="240" w:lineRule="auto"/>
        <w:rPr>
          <w:rFonts w:ascii="Times New Roman" w:hAnsi="Times New Roman" w:cs="Times New Roman"/>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32"/>
          <w:szCs w:val="32"/>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2"/>
          <w:szCs w:val="32"/>
        </w:rPr>
        <w:t>Which, in turn, brings us to consumer rights.</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structure of the American economic system is based on the belief that, generally, competition is the best regulator of the marketplace. According to this theory, when many companies are selling a product, the effort of each to attract more customers keeps prices at the lowest level that allows businesses to cover costs and make a fair profit. When a market is not competitive, sellers can set the price as high as they wish, up to the level where consumers simply will not buy the product. To preserve competition in the marketplace, federal laws make it illegal for businesses to monopolize an industry, restrain trade, or fix prices. The FTC and the U.S. Department of Justice share the responsibility for enforcing these laws.</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Wingdings" w:hAnsi="Wingdings"/>
          <w:sz w:val="24"/>
          <w:szCs w:val="24"/>
        </w:rPr>
      </w:pP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p>
    <w:p w:rsidR="006A58AC" w:rsidRDefault="006A58AC">
      <w:pPr>
        <w:widowControl w:val="0"/>
        <w:autoSpaceDE w:val="0"/>
        <w:autoSpaceDN w:val="0"/>
        <w:adjustRightInd w:val="0"/>
        <w:spacing w:after="0" w:line="240" w:lineRule="auto"/>
        <w:rPr>
          <w:rFonts w:ascii="Wingdings" w:hAnsi="Wingdings"/>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How many miles to Babylon?--</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Threescore miles and ten.</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Can I get there by candlelight?--</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Yes, and back again;</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If your heels are nimble and light,</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r>
        <w:rPr>
          <w:rFonts w:ascii="Times New Roman" w:hAnsi="Times New Roman" w:cs="Times New Roman"/>
          <w:sz w:val="40"/>
          <w:szCs w:val="40"/>
        </w:rPr>
        <w:tab/>
        <w:t>You may get there by candlelight.</w:t>
      </w: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p>
    <w:p w:rsidR="006A58AC" w:rsidRDefault="006A58AC">
      <w:pPr>
        <w:widowControl w:val="0"/>
        <w:autoSpaceDE w:val="0"/>
        <w:autoSpaceDN w:val="0"/>
        <w:adjustRightInd w:val="0"/>
        <w:spacing w:after="0" w:line="240" w:lineRule="auto"/>
        <w:rPr>
          <w:rFonts w:ascii="Times New Roman" w:hAnsi="Times New Roman" w:cs="Times New Roman"/>
          <w:sz w:val="40"/>
          <w:szCs w:val="4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r>
        <w:rPr>
          <w:rFonts w:ascii="Wingdings" w:hAnsi="Wingdings"/>
          <w:sz w:val="24"/>
          <w:szCs w:val="24"/>
        </w:rPr>
        <w:t></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0"/>
          <w:szCs w:val="30"/>
        </w:rPr>
        <w:t>T</w:t>
      </w:r>
      <w:r>
        <w:rPr>
          <w:rFonts w:ascii="Arial" w:hAnsi="Arial" w:cs="Arial"/>
          <w:sz w:val="20"/>
          <w:szCs w:val="20"/>
        </w:rPr>
        <w:t xml:space="preserve">he revival of classical learning and speculative inquiry beginning in the 15th century in Italy during the early Renaissance, displaced Scholasticism as the principal philosophy of Western Europe </w:t>
      </w:r>
      <w:r>
        <w:rPr>
          <w:rFonts w:ascii="Arial" w:hAnsi="Arial" w:cs="Arial"/>
          <w:color w:val="FF0000"/>
          <w:sz w:val="20"/>
          <w:szCs w:val="20"/>
        </w:rPr>
        <w:t>and deprived church leaders of the monopoly on learning that they had previously held</w:t>
      </w:r>
      <w:r>
        <w:rPr>
          <w:rFonts w:ascii="Arial" w:hAnsi="Arial" w:cs="Arial"/>
          <w:sz w:val="20"/>
          <w:szCs w:val="20"/>
        </w:rPr>
        <w:t>. Laypersons studied ancient literature, and scholars such as the Italian humanist Lorenzo Valla critically appraised translations of the Bible and other documents that formed the basis for much of church dogma and tradition. The invention of printing with movable metal type greatly increased the circulation of books and spread new ideas throughout Europe.</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Arial" w:hAnsi="Arial" w:cs="Arial"/>
          <w:b/>
          <w:bCs/>
          <w:sz w:val="40"/>
          <w:szCs w:val="40"/>
        </w:rPr>
      </w:pPr>
      <w:r>
        <w:rPr>
          <w:rFonts w:ascii="Arial" w:hAnsi="Arial" w:cs="Arial"/>
          <w:b/>
          <w:bCs/>
          <w:sz w:val="56"/>
          <w:szCs w:val="56"/>
        </w:rPr>
        <w:t xml:space="preserve">   THERE IS A DISTURBANCE </w:t>
      </w:r>
    </w:p>
    <w:p w:rsidR="006A58AC" w:rsidRDefault="006A58AC">
      <w:pPr>
        <w:widowControl w:val="0"/>
        <w:autoSpaceDE w:val="0"/>
        <w:autoSpaceDN w:val="0"/>
        <w:adjustRightInd w:val="0"/>
        <w:spacing w:after="0" w:line="240" w:lineRule="auto"/>
        <w:rPr>
          <w:rFonts w:ascii="Arial" w:hAnsi="Arial" w:cs="Arial"/>
          <w:b/>
          <w:bCs/>
          <w:sz w:val="40"/>
          <w:szCs w:val="40"/>
        </w:rPr>
      </w:pPr>
    </w:p>
    <w:p w:rsidR="006A58AC" w:rsidRDefault="006A58AC">
      <w:pPr>
        <w:widowControl w:val="0"/>
        <w:autoSpaceDE w:val="0"/>
        <w:autoSpaceDN w:val="0"/>
        <w:adjustRightInd w:val="0"/>
        <w:spacing w:after="0" w:line="240" w:lineRule="auto"/>
        <w:rPr>
          <w:rFonts w:ascii="Arial" w:hAnsi="Arial" w:cs="Arial"/>
          <w:sz w:val="32"/>
          <w:szCs w:val="32"/>
        </w:rPr>
      </w:pPr>
      <w:r>
        <w:rPr>
          <w:rFonts w:ascii="Arial" w:hAnsi="Arial" w:cs="Arial"/>
          <w:b/>
          <w:bCs/>
          <w:sz w:val="56"/>
          <w:szCs w:val="56"/>
        </w:rPr>
        <w:t xml:space="preserve">             IN THE FORCE</w:t>
      </w:r>
    </w:p>
    <w:p w:rsidR="006A58AC" w:rsidRDefault="006A58AC">
      <w:pPr>
        <w:widowControl w:val="0"/>
        <w:autoSpaceDE w:val="0"/>
        <w:autoSpaceDN w:val="0"/>
        <w:adjustRightInd w:val="0"/>
        <w:spacing w:after="0" w:line="240" w:lineRule="auto"/>
        <w:rPr>
          <w:rFonts w:ascii="Arial" w:hAnsi="Arial" w:cs="Arial"/>
          <w:sz w:val="32"/>
          <w:szCs w:val="32"/>
        </w:rPr>
      </w:pPr>
    </w:p>
    <w:p w:rsidR="006A58AC" w:rsidRDefault="006A58AC">
      <w:pPr>
        <w:widowControl w:val="0"/>
        <w:autoSpaceDE w:val="0"/>
        <w:autoSpaceDN w:val="0"/>
        <w:adjustRightInd w:val="0"/>
        <w:spacing w:after="0" w:line="240" w:lineRule="auto"/>
        <w:rPr>
          <w:rFonts w:ascii="Arial" w:hAnsi="Arial" w:cs="Arial"/>
          <w:sz w:val="32"/>
          <w:szCs w:val="32"/>
        </w:rPr>
      </w:pPr>
      <w:r>
        <w:rPr>
          <w:rFonts w:ascii="Arial" w:hAnsi="Arial" w:cs="Arial"/>
          <w:sz w:val="32"/>
          <w:szCs w:val="32"/>
        </w:rPr>
        <w:t>Early in the 13th century, a body of philosophical and scientific writings previously unknown to Western philosophers and theologians became a disturbing force in Scholastic circles.</w:t>
      </w:r>
    </w:p>
    <w:p w:rsidR="006A58AC" w:rsidRDefault="006A58AC">
      <w:pPr>
        <w:widowControl w:val="0"/>
        <w:autoSpaceDE w:val="0"/>
        <w:autoSpaceDN w:val="0"/>
        <w:adjustRightInd w:val="0"/>
        <w:spacing w:after="0" w:line="240" w:lineRule="auto"/>
        <w:rPr>
          <w:rFonts w:ascii="Arial" w:hAnsi="Arial" w:cs="Arial"/>
          <w:sz w:val="32"/>
          <w:szCs w:val="32"/>
        </w:rPr>
      </w:pPr>
    </w:p>
    <w:p w:rsidR="006A58AC" w:rsidRDefault="006A58AC">
      <w:pPr>
        <w:widowControl w:val="0"/>
        <w:autoSpaceDE w:val="0"/>
        <w:autoSpaceDN w:val="0"/>
        <w:adjustRightInd w:val="0"/>
        <w:spacing w:after="0" w:line="240" w:lineRule="auto"/>
        <w:rPr>
          <w:rFonts w:ascii="Arial" w:hAnsi="Arial" w:cs="Arial"/>
          <w:sz w:val="32"/>
          <w:szCs w:val="32"/>
        </w:rPr>
      </w:pPr>
    </w:p>
    <w:p w:rsidR="006A58AC" w:rsidRDefault="006A58AC">
      <w:pPr>
        <w:widowControl w:val="0"/>
        <w:autoSpaceDE w:val="0"/>
        <w:autoSpaceDN w:val="0"/>
        <w:adjustRightInd w:val="0"/>
        <w:spacing w:after="0" w:line="240" w:lineRule="auto"/>
        <w:ind w:right="180"/>
        <w:rPr>
          <w:rFonts w:ascii="Arial" w:hAnsi="Arial" w:cs="Arial"/>
          <w:b/>
          <w:bCs/>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Albertus Magnus, Saint</w:t>
      </w:r>
      <w:r>
        <w:rPr>
          <w:rFonts w:ascii="Arial" w:hAnsi="Arial" w:cs="Arial"/>
          <w:sz w:val="26"/>
          <w:szCs w:val="26"/>
        </w:rPr>
        <w:t xml:space="preserve"> </w:t>
      </w:r>
      <w:r>
        <w:rPr>
          <w:rFonts w:ascii="Arial" w:hAnsi="Arial" w:cs="Arial"/>
          <w:sz w:val="20"/>
          <w:szCs w:val="20"/>
        </w:rPr>
        <w:t xml:space="preserve">(circa 1200-80), called Albert the Great and known as </w:t>
      </w:r>
      <w:r>
        <w:rPr>
          <w:rFonts w:ascii="Arial" w:hAnsi="Arial" w:cs="Arial"/>
          <w:i/>
          <w:iCs/>
          <w:sz w:val="20"/>
          <w:szCs w:val="20"/>
        </w:rPr>
        <w:t>doctor universalis</w:t>
      </w:r>
      <w:r>
        <w:rPr>
          <w:rFonts w:ascii="Arial" w:hAnsi="Arial" w:cs="Arial"/>
          <w:sz w:val="20"/>
          <w:szCs w:val="20"/>
        </w:rPr>
        <w:t xml:space="preserve"> for his wide interest in natural science. He was especially noted for his introduction of Greek and Arabic science and philosophy to the medieval world.</w:t>
      </w:r>
    </w:p>
    <w:p w:rsidR="006A58AC" w:rsidRDefault="006A58AC">
      <w:pPr>
        <w:widowControl w:val="0"/>
        <w:autoSpaceDE w:val="0"/>
        <w:autoSpaceDN w:val="0"/>
        <w:adjustRightInd w:val="0"/>
        <w:spacing w:after="0" w:line="240" w:lineRule="auto"/>
        <w:ind w:right="180"/>
        <w:rPr>
          <w:rFonts w:ascii="Arial" w:hAnsi="Arial" w:cs="Arial"/>
          <w:sz w:val="24"/>
          <w:szCs w:val="24"/>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Born in Lauingen, Bavaria, to a noble military family, Albert was studying at Padua in 1223, when he was attracted to the Dominican Order of Preachers, then less than ten years old. He was ordained in Germany and taught there before going on to the University of Paris, where he became a master of theology in 1245 and subsequently held one of the Dominican chairs of theology. Among his early students was </w:t>
      </w:r>
      <w:r>
        <w:rPr>
          <w:rFonts w:ascii="Arial" w:hAnsi="Arial" w:cs="Arial"/>
          <w:b/>
          <w:bCs/>
          <w:sz w:val="20"/>
          <w:szCs w:val="20"/>
        </w:rPr>
        <w:t>Thomas Aquinas</w:t>
      </w:r>
      <w:r>
        <w:rPr>
          <w:rFonts w:ascii="Arial" w:hAnsi="Arial" w:cs="Arial"/>
          <w:sz w:val="20"/>
          <w:szCs w:val="20"/>
        </w:rPr>
        <w:t>.</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Albert was a key figure in the assimilation of Aristotelian philosophy into medieval Scholasticism and in the revival of natural science that it inspired.</w:t>
      </w:r>
    </w:p>
    <w:p w:rsidR="006A58AC" w:rsidRDefault="006A58AC">
      <w:pPr>
        <w:widowControl w:val="0"/>
        <w:autoSpaceDE w:val="0"/>
        <w:autoSpaceDN w:val="0"/>
        <w:adjustRightInd w:val="0"/>
        <w:spacing w:after="0" w:line="240" w:lineRule="auto"/>
        <w:ind w:right="180"/>
        <w:rPr>
          <w:rFonts w:ascii="Arial" w:hAnsi="Arial" w:cs="Arial"/>
          <w:sz w:val="24"/>
          <w:szCs w:val="24"/>
        </w:rPr>
      </w:pPr>
    </w:p>
    <w:p w:rsidR="006A58AC" w:rsidRDefault="006A58AC">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Albert produced essentially new works and, according to the English philosopher Roger Bacon, held much the same authority in his time as did Aristotle himself. Roger Bacon believed that gold dissolved in aqua regia was the elixir of life. Albertus Magnus had a great mastery of the practical chemistry of his time. The Italian Scholastic philosopher </w:t>
      </w:r>
      <w:r>
        <w:rPr>
          <w:rFonts w:ascii="Arial" w:hAnsi="Arial" w:cs="Arial"/>
          <w:b/>
          <w:bCs/>
          <w:sz w:val="20"/>
          <w:szCs w:val="20"/>
        </w:rPr>
        <w:t>St. Thomas Aquinas</w:t>
      </w:r>
      <w:r>
        <w:rPr>
          <w:rFonts w:ascii="Arial" w:hAnsi="Arial" w:cs="Arial"/>
          <w:sz w:val="20"/>
          <w:szCs w:val="20"/>
        </w:rPr>
        <w:t>, the Catalan churchman Raymond Lully, and the Benedictine monk Basil Valentine (flourished 15th century) also did much to further the progress of chemistry.</w:t>
      </w:r>
    </w:p>
    <w:p w:rsidR="006A58AC" w:rsidRDefault="006A58AC">
      <w:pPr>
        <w:widowControl w:val="0"/>
        <w:autoSpaceDE w:val="0"/>
        <w:autoSpaceDN w:val="0"/>
        <w:adjustRightInd w:val="0"/>
        <w:spacing w:after="0" w:line="240" w:lineRule="auto"/>
        <w:rPr>
          <w:rFonts w:ascii="Arial" w:hAnsi="Arial" w:cs="Arial"/>
          <w:sz w:val="24"/>
          <w:szCs w:val="24"/>
        </w:rPr>
      </w:pPr>
    </w:p>
    <w:p w:rsidR="006A58AC" w:rsidRDefault="006A58AC">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As a theologian, Albert was outstanding among the medieval philosophers but not as innovative as his pupil </w:t>
      </w:r>
      <w:r>
        <w:rPr>
          <w:rFonts w:ascii="Arial" w:hAnsi="Arial" w:cs="Arial"/>
          <w:b/>
          <w:bCs/>
          <w:sz w:val="20"/>
          <w:szCs w:val="20"/>
        </w:rPr>
        <w:t>Aquinas</w:t>
      </w:r>
      <w:r>
        <w:rPr>
          <w:rFonts w:ascii="Arial" w:hAnsi="Arial" w:cs="Arial"/>
          <w:sz w:val="20"/>
          <w:szCs w:val="20"/>
        </w:rPr>
        <w:t>.</w:t>
      </w:r>
    </w:p>
    <w:p w:rsidR="006A58AC" w:rsidRDefault="006A58AC">
      <w:pPr>
        <w:widowControl w:val="0"/>
        <w:autoSpaceDE w:val="0"/>
        <w:autoSpaceDN w:val="0"/>
        <w:adjustRightInd w:val="0"/>
        <w:spacing w:after="0" w:line="240" w:lineRule="auto"/>
        <w:rPr>
          <w:rFonts w:ascii="Arial" w:hAnsi="Arial" w:cs="Arial"/>
          <w:sz w:val="24"/>
          <w:szCs w:val="24"/>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Albert died at Cologne on November 15, 1280. He was beatified in 1622 and declared a saint by Pope Pius XI in 1931, at which time he was acclaimed an official Doctor of the Church. In 1941 Pope Pius XII made him the patron of all who study the natural sciences. His feast day is November 15.</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Aquinas, Saint Thomas,</w:t>
      </w:r>
      <w:r>
        <w:rPr>
          <w:rFonts w:ascii="Arial" w:hAnsi="Arial" w:cs="Arial"/>
          <w:sz w:val="26"/>
          <w:szCs w:val="26"/>
        </w:rPr>
        <w:t xml:space="preserve"> </w:t>
      </w:r>
      <w:r>
        <w:rPr>
          <w:rFonts w:ascii="Arial" w:hAnsi="Arial" w:cs="Arial"/>
          <w:sz w:val="20"/>
          <w:szCs w:val="20"/>
        </w:rPr>
        <w:t>sometimes called the Angelic Doctor and the Prince of Scholastics (1225-74), Italian philosopher and theologian, whose works have made him the most important figure in Scholastic philosophy and one of the leading Roman Catholic theologians.</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Aquinas was canonized by Pope John XXII in 1323 and proclaimed a Doctor of the Church by Pope Pius V in 1567.</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More successfully than any other theologian or philosopher, Aquinas organized the knowledge of his time in the service of his faith.</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 the encyclical </w:t>
      </w:r>
      <w:r>
        <w:rPr>
          <w:rFonts w:ascii="Arial" w:hAnsi="Arial" w:cs="Arial"/>
          <w:i/>
          <w:iCs/>
          <w:sz w:val="20"/>
          <w:szCs w:val="20"/>
        </w:rPr>
        <w:t>Aeterni Patris</w:t>
      </w:r>
      <w:r>
        <w:rPr>
          <w:rFonts w:ascii="Arial" w:hAnsi="Arial" w:cs="Arial"/>
          <w:sz w:val="20"/>
          <w:szCs w:val="20"/>
        </w:rPr>
        <w:t xml:space="preserve"> (Of the Eternal Father, 1879), Pope Leo XIII recommended that St. Thomas's philosophy be made the basis of instruction in all Roman Catholic schools.</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ind w:left="270" w:right="1260"/>
        <w:rPr>
          <w:rFonts w:ascii="Arial" w:hAnsi="Arial" w:cs="Arial"/>
          <w:sz w:val="20"/>
          <w:szCs w:val="20"/>
        </w:rPr>
      </w:pPr>
      <w:r>
        <w:rPr>
          <w:rFonts w:ascii="Arial" w:hAnsi="Arial" w:cs="Arial"/>
          <w:b/>
          <w:bCs/>
          <w:sz w:val="20"/>
          <w:szCs w:val="20"/>
        </w:rPr>
        <w:t xml:space="preserve">Pope Pius XII, in the encyclical </w:t>
      </w:r>
      <w:r>
        <w:rPr>
          <w:rFonts w:ascii="Arial" w:hAnsi="Arial" w:cs="Arial"/>
          <w:b/>
          <w:bCs/>
          <w:i/>
          <w:iCs/>
          <w:sz w:val="20"/>
          <w:szCs w:val="20"/>
        </w:rPr>
        <w:t>Humani Generis</w:t>
      </w:r>
      <w:r>
        <w:rPr>
          <w:rFonts w:ascii="Arial" w:hAnsi="Arial" w:cs="Arial"/>
          <w:b/>
          <w:bCs/>
          <w:sz w:val="20"/>
          <w:szCs w:val="20"/>
        </w:rPr>
        <w:t xml:space="preserve"> (Of the Human Race, 1950), affirmed that the Thomist philosophy is the surest guide to Roman Catholic doctrine and discouraged all departures from it.</w:t>
      </w:r>
    </w:p>
    <w:p w:rsidR="006A58AC" w:rsidRDefault="006A58AC">
      <w:pPr>
        <w:widowControl w:val="0"/>
        <w:autoSpaceDE w:val="0"/>
        <w:autoSpaceDN w:val="0"/>
        <w:adjustRightInd w:val="0"/>
        <w:spacing w:after="0" w:line="240" w:lineRule="auto"/>
        <w:ind w:left="270" w:right="1260"/>
        <w:rPr>
          <w:rFonts w:ascii="MS Sans Serif" w:hAnsi="MS Sans Serif" w:cs="MS Sans Serif"/>
          <w:sz w:val="24"/>
          <w:szCs w:val="24"/>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 xml:space="preserve">In France, the most influential view in the early part of the 20th century was the evolutionary vitalism of Henri Bergson, who propounded the </w:t>
      </w:r>
      <w:r>
        <w:rPr>
          <w:rFonts w:ascii="Arial" w:hAnsi="Arial" w:cs="Arial"/>
          <w:i/>
          <w:iCs/>
          <w:sz w:val="20"/>
          <w:szCs w:val="20"/>
        </w:rPr>
        <w:t>élan vital</w:t>
      </w:r>
      <w:r>
        <w:rPr>
          <w:rFonts w:ascii="Arial" w:hAnsi="Arial" w:cs="Arial"/>
          <w:sz w:val="20"/>
          <w:szCs w:val="20"/>
        </w:rPr>
        <w:t xml:space="preserve">, the spontaneous energy of the evolutionary process. Bergson defended feeling and intuition against the abstract, analytical approach to nature of science and science-minded philosophy. In Germany, Edmund Husserl, founder of the school of phenomenology, developed a philosophy that studied the </w:t>
      </w:r>
      <w:r>
        <w:rPr>
          <w:rFonts w:ascii="Arial" w:hAnsi="Arial" w:cs="Arial"/>
          <w:color w:val="0000FF"/>
          <w:sz w:val="20"/>
          <w:szCs w:val="20"/>
        </w:rPr>
        <w:t>structures of consciousness</w:t>
      </w:r>
      <w:r>
        <w:rPr>
          <w:rFonts w:ascii="Arial" w:hAnsi="Arial" w:cs="Arial"/>
          <w:sz w:val="20"/>
          <w:szCs w:val="20"/>
        </w:rPr>
        <w:t xml:space="preserve"> that enable the consciousness to refer to objects outside itself.</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Maritain, Jacques</w:t>
      </w:r>
      <w:r>
        <w:rPr>
          <w:rFonts w:ascii="Arial" w:hAnsi="Arial" w:cs="Arial"/>
          <w:sz w:val="20"/>
          <w:szCs w:val="20"/>
        </w:rPr>
        <w:t xml:space="preserve"> (1882-1973), French philosopher, known for his application of the teachings of the medieval Scholastic philosopher St. Thomas Aquinas to the problems of modern life. Born in Paris, November 18, 1882, Maritain was educated at the Sorbonne, where he came under the influence of the philosopher Henri Bergson, and at the University of Heidelberg. Reared as a Protestant, Maritain converted to Roman Catholicism in 1906. He did a study of the philosophy of St. Thomas Aquinas, applying it to modern culture. Maritain lectured at the Institut Catholique in Paris (1914-33), the Institute for Medieval Studies in Toronto (1933-45), and Princeton University (1948-52). From 1945 to 1948 he was ambassador of France to the Vatican. Later he lived in retirement in Toulouse, France, where he died April 28, 1973.</w:t>
      </w:r>
    </w:p>
    <w:p w:rsidR="006A58AC" w:rsidRDefault="006A58AC">
      <w:pPr>
        <w:widowControl w:val="0"/>
        <w:autoSpaceDE w:val="0"/>
        <w:autoSpaceDN w:val="0"/>
        <w:adjustRightInd w:val="0"/>
        <w:spacing w:after="0" w:line="240" w:lineRule="auto"/>
        <w:ind w:right="180"/>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Maritain's approach to philosophical problems took into account data from anthropology, sociology, and psychology. His deepest and most lasting achievements were in epistemology, in which he studied the different degrees of knowledge and their interrelationships, and in political philosophy. His writings stress that reality can be known in many different ways—through, for instance, science, philosophy, art, or mysticism—each of which contributes something distinctive to human knowledge. Maritain maintained that to exist is to act; cooperation is always possible when humanity pursues a common good. He also wrote much in the area of aesthetics. His more than 60 books include </w:t>
      </w:r>
      <w:r>
        <w:rPr>
          <w:rFonts w:ascii="Arial" w:hAnsi="Arial" w:cs="Arial"/>
          <w:i/>
          <w:iCs/>
          <w:sz w:val="20"/>
          <w:szCs w:val="20"/>
        </w:rPr>
        <w:t>Art and Scholasticism</w:t>
      </w:r>
      <w:r>
        <w:rPr>
          <w:rFonts w:ascii="Arial" w:hAnsi="Arial" w:cs="Arial"/>
          <w:sz w:val="20"/>
          <w:szCs w:val="20"/>
        </w:rPr>
        <w:t xml:space="preserve"> (1920; trans. 1930), </w:t>
      </w:r>
      <w:r>
        <w:rPr>
          <w:rFonts w:ascii="Arial" w:hAnsi="Arial" w:cs="Arial"/>
          <w:i/>
          <w:iCs/>
          <w:sz w:val="20"/>
          <w:szCs w:val="20"/>
        </w:rPr>
        <w:t>Degrees of Knowledge</w:t>
      </w:r>
      <w:r>
        <w:rPr>
          <w:rFonts w:ascii="Arial" w:hAnsi="Arial" w:cs="Arial"/>
          <w:sz w:val="20"/>
          <w:szCs w:val="20"/>
        </w:rPr>
        <w:t xml:space="preserve"> (1932; trans. 1937), </w:t>
      </w:r>
      <w:r>
        <w:rPr>
          <w:rFonts w:ascii="Arial" w:hAnsi="Arial" w:cs="Arial"/>
          <w:i/>
          <w:iCs/>
          <w:sz w:val="20"/>
          <w:szCs w:val="20"/>
        </w:rPr>
        <w:t>Art and Poetry</w:t>
      </w:r>
      <w:r>
        <w:rPr>
          <w:rFonts w:ascii="Arial" w:hAnsi="Arial" w:cs="Arial"/>
          <w:sz w:val="20"/>
          <w:szCs w:val="20"/>
        </w:rPr>
        <w:t xml:space="preserve"> (1935; trans. 1943), </w:t>
      </w:r>
      <w:r>
        <w:rPr>
          <w:rFonts w:ascii="Arial" w:hAnsi="Arial" w:cs="Arial"/>
          <w:i/>
          <w:iCs/>
          <w:sz w:val="20"/>
          <w:szCs w:val="20"/>
        </w:rPr>
        <w:t>Existence and the Existent</w:t>
      </w:r>
      <w:r>
        <w:rPr>
          <w:rFonts w:ascii="Arial" w:hAnsi="Arial" w:cs="Arial"/>
          <w:sz w:val="20"/>
          <w:szCs w:val="20"/>
        </w:rPr>
        <w:t xml:space="preserve"> (1947; trans. 1948), and </w:t>
      </w:r>
      <w:r>
        <w:rPr>
          <w:rFonts w:ascii="Arial" w:hAnsi="Arial" w:cs="Arial"/>
          <w:i/>
          <w:iCs/>
          <w:sz w:val="20"/>
          <w:szCs w:val="20"/>
        </w:rPr>
        <w:t>Moral Philosophy</w:t>
      </w:r>
      <w:r>
        <w:rPr>
          <w:rFonts w:ascii="Arial" w:hAnsi="Arial" w:cs="Arial"/>
          <w:sz w:val="20"/>
          <w:szCs w:val="20"/>
        </w:rPr>
        <w:t xml:space="preserve"> (1960; trans. 1964). The Jacques Maritain Center, established in 1958 at the University of Notre Dame, promotes research and study of Maritain's thought.</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importance of Proust's novel lies not so much in his descriptions of changing French society as in the psychological development of characters and in his philosophical preoccupation with time. As Proust traced the path of his hero from happy childhood through romantic attachment to self-awareness as a writer, he was also concerned with seeking eternal truths in the changing world. He treated time both as a destroyer and as a positive element that can be grasped only by intuitive memory. The sequence of time is perceived in the light of the theories of the French philosopher Henri Bergson, whom Proust admired. Time is in constant flux, moments of the past and the present having equal reality. Proust also boldly explored the depths of the human psyche, subconscious motivations, and the irrationality of human behavior, particularly in relation to love. The work, translated into many languages, established Proust's reputation throughout the world, and his method of writing, which entailed analyzing his characters' development in minute detail, had an important influence on 20th-century literature. Another Proust novel, discovered and published after his death, is </w:t>
      </w:r>
      <w:r>
        <w:rPr>
          <w:rFonts w:ascii="Arial" w:hAnsi="Arial" w:cs="Arial"/>
          <w:i/>
          <w:iCs/>
          <w:sz w:val="20"/>
          <w:szCs w:val="20"/>
        </w:rPr>
        <w:t>Jean Santeuil</w:t>
      </w:r>
      <w:r>
        <w:rPr>
          <w:rFonts w:ascii="Arial" w:hAnsi="Arial" w:cs="Arial"/>
          <w:sz w:val="20"/>
          <w:szCs w:val="20"/>
        </w:rPr>
        <w:t xml:space="preserve"> (3 vol., 1952; trans. 1956).</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before="100" w:after="100" w:line="240" w:lineRule="auto"/>
        <w:rPr>
          <w:rFonts w:ascii="Arial" w:hAnsi="Arial" w:cs="Arial"/>
          <w:color w:val="808080"/>
          <w:sz w:val="20"/>
          <w:szCs w:val="20"/>
        </w:rPr>
      </w:pPr>
      <w:r>
        <w:rPr>
          <w:rFonts w:ascii="Arial" w:hAnsi="Arial" w:cs="Arial"/>
          <w:color w:val="808080"/>
          <w:sz w:val="20"/>
          <w:szCs w:val="20"/>
        </w:rPr>
        <w:t xml:space="preserve">After years of studies, collations, intuitions and verifications on archaeological fields, architect Piero Meogrossi reconfirm his revolutionary hypothesis already maintained a lot of times: </w:t>
      </w:r>
      <w:r>
        <w:rPr>
          <w:rFonts w:ascii="Arial" w:hAnsi="Arial" w:cs="Arial"/>
          <w:b/>
          <w:bCs/>
          <w:color w:val="808080"/>
          <w:sz w:val="20"/>
          <w:szCs w:val="20"/>
        </w:rPr>
        <w:t xml:space="preserve">the urban design of Rome, during all its history, has been subordinated to one astronomical </w:t>
      </w:r>
      <w:r>
        <w:rPr>
          <w:rFonts w:ascii="Arial" w:hAnsi="Arial" w:cs="Arial"/>
          <w:b/>
          <w:bCs/>
          <w:i/>
          <w:iCs/>
          <w:color w:val="808080"/>
          <w:sz w:val="20"/>
          <w:szCs w:val="20"/>
        </w:rPr>
        <w:t>decumanus</w:t>
      </w:r>
      <w:r>
        <w:rPr>
          <w:rFonts w:ascii="Arial" w:hAnsi="Arial" w:cs="Arial"/>
          <w:b/>
          <w:bCs/>
          <w:color w:val="808080"/>
          <w:sz w:val="20"/>
          <w:szCs w:val="20"/>
        </w:rPr>
        <w:t xml:space="preserve"> (measure between earth and sky) coinciding with </w:t>
      </w:r>
      <w:r>
        <w:rPr>
          <w:rFonts w:ascii="Arial" w:hAnsi="Arial" w:cs="Arial"/>
          <w:b/>
          <w:bCs/>
          <w:i/>
          <w:iCs/>
          <w:color w:val="808080"/>
          <w:sz w:val="20"/>
          <w:szCs w:val="20"/>
        </w:rPr>
        <w:t>Dies Natalis Urbis</w:t>
      </w:r>
      <w:r>
        <w:rPr>
          <w:rFonts w:ascii="Arial" w:hAnsi="Arial" w:cs="Arial"/>
          <w:b/>
          <w:bCs/>
          <w:color w:val="808080"/>
          <w:sz w:val="20"/>
          <w:szCs w:val="20"/>
        </w:rPr>
        <w:t xml:space="preserve"> of April XXIth</w:t>
      </w:r>
      <w:r>
        <w:rPr>
          <w:rFonts w:ascii="Arial" w:hAnsi="Arial" w:cs="Arial"/>
          <w:color w:val="808080"/>
          <w:sz w:val="20"/>
          <w:szCs w:val="20"/>
        </w:rPr>
        <w:t xml:space="preserve">. According to Meogrossi, this axis of solar connection, which position is perpendicular to the ancient </w:t>
      </w:r>
      <w:r>
        <w:rPr>
          <w:rFonts w:ascii="Arial" w:hAnsi="Arial" w:cs="Arial"/>
          <w:i/>
          <w:iCs/>
          <w:color w:val="808080"/>
          <w:sz w:val="20"/>
          <w:szCs w:val="20"/>
        </w:rPr>
        <w:t>Via Lata</w:t>
      </w:r>
      <w:r>
        <w:rPr>
          <w:rFonts w:ascii="Arial" w:hAnsi="Arial" w:cs="Arial"/>
          <w:color w:val="808080"/>
          <w:sz w:val="20"/>
          <w:szCs w:val="20"/>
        </w:rPr>
        <w:t xml:space="preserve">, already from the origins of Rome has been the guideline for the lay-out / </w:t>
      </w:r>
      <w:r>
        <w:rPr>
          <w:rFonts w:ascii="Arial" w:hAnsi="Arial" w:cs="Arial"/>
          <w:i/>
          <w:iCs/>
          <w:color w:val="808080"/>
          <w:sz w:val="20"/>
          <w:szCs w:val="20"/>
        </w:rPr>
        <w:t>pomerium</w:t>
      </w:r>
      <w:r>
        <w:rPr>
          <w:rFonts w:ascii="Arial" w:hAnsi="Arial" w:cs="Arial"/>
          <w:color w:val="808080"/>
          <w:sz w:val="20"/>
          <w:szCs w:val="20"/>
        </w:rPr>
        <w:t xml:space="preserve"> of </w:t>
      </w:r>
      <w:r>
        <w:rPr>
          <w:rFonts w:ascii="Arial" w:hAnsi="Arial" w:cs="Arial"/>
          <w:i/>
          <w:iCs/>
          <w:color w:val="808080"/>
          <w:sz w:val="20"/>
          <w:szCs w:val="20"/>
        </w:rPr>
        <w:t>Roma quadrata</w:t>
      </w:r>
      <w:r>
        <w:rPr>
          <w:rFonts w:ascii="Arial" w:hAnsi="Arial" w:cs="Arial"/>
          <w:color w:val="808080"/>
          <w:sz w:val="20"/>
          <w:szCs w:val="20"/>
        </w:rPr>
        <w:t xml:space="preserve"> of Romulus.</w:t>
      </w:r>
    </w:p>
    <w:p w:rsidR="006A58AC" w:rsidRDefault="006A58AC">
      <w:pPr>
        <w:widowControl w:val="0"/>
        <w:autoSpaceDE w:val="0"/>
        <w:autoSpaceDN w:val="0"/>
        <w:adjustRightInd w:val="0"/>
        <w:spacing w:before="100" w:after="100" w:line="240" w:lineRule="auto"/>
        <w:rPr>
          <w:rFonts w:ascii="Arial" w:hAnsi="Arial" w:cs="Arial"/>
          <w:color w:val="808080"/>
          <w:sz w:val="20"/>
          <w:szCs w:val="20"/>
        </w:rPr>
      </w:pPr>
      <w:r>
        <w:rPr>
          <w:rFonts w:ascii="Arial" w:hAnsi="Arial" w:cs="Arial"/>
          <w:color w:val="808080"/>
          <w:sz w:val="20"/>
          <w:szCs w:val="20"/>
        </w:rPr>
        <w:t xml:space="preserve">The axis connect topographically: the labyrinth of </w:t>
      </w:r>
      <w:r>
        <w:rPr>
          <w:rFonts w:ascii="Arial" w:hAnsi="Arial" w:cs="Arial"/>
          <w:i/>
          <w:iCs/>
          <w:color w:val="808080"/>
          <w:sz w:val="20"/>
          <w:szCs w:val="20"/>
        </w:rPr>
        <w:t>Domus Flavia</w:t>
      </w:r>
      <w:r>
        <w:rPr>
          <w:rFonts w:ascii="Arial" w:hAnsi="Arial" w:cs="Arial"/>
          <w:color w:val="808080"/>
          <w:sz w:val="20"/>
          <w:szCs w:val="20"/>
        </w:rPr>
        <w:t xml:space="preserve">, the crypto-portico of </w:t>
      </w:r>
      <w:r>
        <w:rPr>
          <w:rFonts w:ascii="Arial" w:hAnsi="Arial" w:cs="Arial"/>
          <w:i/>
          <w:iCs/>
          <w:color w:val="808080"/>
          <w:sz w:val="20"/>
          <w:szCs w:val="20"/>
        </w:rPr>
        <w:t>Vigna Barberini</w:t>
      </w:r>
      <w:r>
        <w:rPr>
          <w:rFonts w:ascii="Arial" w:hAnsi="Arial" w:cs="Arial"/>
          <w:color w:val="808080"/>
          <w:sz w:val="20"/>
          <w:szCs w:val="20"/>
        </w:rPr>
        <w:t xml:space="preserve">, The Constantine Arch, the center of Colosseum, the octagonal hall of </w:t>
      </w:r>
      <w:r>
        <w:rPr>
          <w:rFonts w:ascii="Arial" w:hAnsi="Arial" w:cs="Arial"/>
          <w:i/>
          <w:iCs/>
          <w:color w:val="808080"/>
          <w:sz w:val="20"/>
          <w:szCs w:val="20"/>
        </w:rPr>
        <w:t>Domus Aurea</w:t>
      </w:r>
      <w:r>
        <w:rPr>
          <w:rFonts w:ascii="Arial" w:hAnsi="Arial" w:cs="Arial"/>
          <w:color w:val="808080"/>
          <w:sz w:val="20"/>
          <w:szCs w:val="20"/>
        </w:rPr>
        <w:t>. This is really a topographical DNA able to perpetuate in the centuries the hidden profile of urban identity.</w:t>
      </w:r>
    </w:p>
    <w:p w:rsidR="006A58AC" w:rsidRDefault="006A58AC">
      <w:pPr>
        <w:widowControl w:val="0"/>
        <w:autoSpaceDE w:val="0"/>
        <w:autoSpaceDN w:val="0"/>
        <w:adjustRightInd w:val="0"/>
        <w:spacing w:after="0" w:line="240" w:lineRule="auto"/>
        <w:rPr>
          <w:rFonts w:ascii="Arial" w:hAnsi="Arial" w:cs="Arial"/>
          <w:color w:val="808080"/>
          <w:sz w:val="20"/>
          <w:szCs w:val="20"/>
        </w:rPr>
      </w:pPr>
      <w:r>
        <w:rPr>
          <w:rFonts w:ascii="Arial" w:hAnsi="Arial" w:cs="Arial"/>
          <w:color w:val="808080"/>
          <w:sz w:val="20"/>
          <w:szCs w:val="20"/>
        </w:rPr>
        <w:t xml:space="preserve">The discoveries of architect Meogrossi, that have reinterpreted the </w:t>
      </w:r>
      <w:r>
        <w:rPr>
          <w:rFonts w:ascii="Arial" w:hAnsi="Arial" w:cs="Arial"/>
          <w:i/>
          <w:iCs/>
          <w:color w:val="808080"/>
          <w:sz w:val="20"/>
          <w:szCs w:val="20"/>
        </w:rPr>
        <w:t>Forma Urbis</w:t>
      </w:r>
      <w:r>
        <w:rPr>
          <w:rFonts w:ascii="Arial" w:hAnsi="Arial" w:cs="Arial"/>
          <w:color w:val="808080"/>
          <w:sz w:val="20"/>
          <w:szCs w:val="20"/>
        </w:rPr>
        <w:t xml:space="preserve"> design "a la maniera de li /antichi" (in the way of ancient world), allow us to start to revise the identity of territory and morphology "in media urbe" and to put together again according to polycentrical formalities the lost places and the memoryself of the city.</w:t>
      </w:r>
    </w:p>
    <w:p w:rsidR="006A58AC" w:rsidRDefault="006A58AC">
      <w:pPr>
        <w:widowControl w:val="0"/>
        <w:autoSpaceDE w:val="0"/>
        <w:autoSpaceDN w:val="0"/>
        <w:adjustRightInd w:val="0"/>
        <w:spacing w:after="0" w:line="240" w:lineRule="auto"/>
        <w:rPr>
          <w:rFonts w:ascii="Arial" w:hAnsi="Arial" w:cs="Arial"/>
          <w:color w:val="808080"/>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 xml:space="preserve">       --- http://www.mclink.it/assoc/festinalente/comm/did/conferenze/1997/04/21/a0/enIndex.html</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Aristotle taught that earthly things possessed accidents (size, shape, color, texture) perceptible to the senses, and substance, their essential reality, known by the mind.</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more elaborate view was offered by Anaximander, who held that the raw material of all matter is an eternal substance that changes into the commonly experienced forms of matter. These forms in turn change and merge into one another according to the rule of justice, that is, balance and proportion. Heraclitus taught that the entire world is in a constant state of change or flux and that most objects and substances are produced by a union of opposite principles.</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Aristotle proposed a group of universals that represent the common properties of any group of real objects. The </w:t>
      </w:r>
      <w:r>
        <w:rPr>
          <w:rFonts w:ascii="Arial" w:hAnsi="Arial" w:cs="Arial"/>
          <w:b/>
          <w:bCs/>
          <w:sz w:val="20"/>
          <w:szCs w:val="20"/>
        </w:rPr>
        <w:t>universals</w:t>
      </w:r>
      <w:r>
        <w:rPr>
          <w:rFonts w:ascii="Arial" w:hAnsi="Arial" w:cs="Arial"/>
          <w:sz w:val="20"/>
          <w:szCs w:val="20"/>
        </w:rPr>
        <w:t xml:space="preserve">, unlike Plato's Ideas, </w:t>
      </w:r>
      <w:r>
        <w:rPr>
          <w:rFonts w:ascii="Arial" w:hAnsi="Arial" w:cs="Arial"/>
          <w:b/>
          <w:bCs/>
          <w:sz w:val="20"/>
          <w:szCs w:val="20"/>
        </w:rPr>
        <w:t>have no existence outside of the objects they represent</w:t>
      </w:r>
      <w:r>
        <w:rPr>
          <w:rFonts w:ascii="Arial" w:hAnsi="Arial" w:cs="Arial"/>
          <w:sz w:val="20"/>
          <w:szCs w:val="20"/>
        </w:rPr>
        <w:t>.</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Closer to Plato's thought was Aristotle's definition of </w:t>
      </w:r>
      <w:r>
        <w:rPr>
          <w:rFonts w:ascii="Arial" w:hAnsi="Arial" w:cs="Arial"/>
          <w:b/>
          <w:bCs/>
          <w:i/>
          <w:iCs/>
          <w:sz w:val="20"/>
          <w:szCs w:val="20"/>
        </w:rPr>
        <w:t>form</w:t>
      </w:r>
      <w:r>
        <w:rPr>
          <w:rFonts w:ascii="Arial" w:hAnsi="Arial" w:cs="Arial"/>
          <w:sz w:val="20"/>
          <w:szCs w:val="20"/>
        </w:rPr>
        <w:t xml:space="preserve"> as a distinguishing property of objects, but </w:t>
      </w:r>
      <w:r>
        <w:rPr>
          <w:rFonts w:ascii="Arial" w:hAnsi="Arial" w:cs="Arial"/>
          <w:b/>
          <w:bCs/>
          <w:sz w:val="20"/>
          <w:szCs w:val="20"/>
        </w:rPr>
        <w:t>with an independent existence apart from the objects in which it is found</w:t>
      </w:r>
      <w:r>
        <w:rPr>
          <w:rFonts w:ascii="Arial" w:hAnsi="Arial" w:cs="Arial"/>
          <w:sz w:val="20"/>
          <w:szCs w:val="20"/>
        </w:rPr>
        <w:t>.</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Describing the material universe, Aristotle stated it consists of the four elements, fire, air, earth, and water, plus a fifth element that exists everywhere and is the sole constituent of the heavenly bodies "above" the moon.</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Four qualities were found in nature: heat, cold, moisture, and dryness. The four elements were each composed of pairs of these qualities; for example, fire was hot and dry, water was cold and moist, air was hot and moist, and earth was cold and dry. These elements with their qualities combined in various proportions to form the components of the earthly planet. Because it was possible for the amounts of each quality in an element to be changed, the elements could be changed into one another.</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 xml:space="preserve">His writings on the nature, scope, and properties of being, which Aristotle called </w:t>
      </w:r>
      <w:r>
        <w:rPr>
          <w:rFonts w:ascii="Arial" w:hAnsi="Arial" w:cs="Arial"/>
          <w:i/>
          <w:iCs/>
          <w:sz w:val="20"/>
          <w:szCs w:val="20"/>
        </w:rPr>
        <w:t>First Philosophy</w:t>
      </w:r>
      <w:r>
        <w:rPr>
          <w:rFonts w:ascii="Arial" w:hAnsi="Arial" w:cs="Arial"/>
          <w:sz w:val="20"/>
          <w:szCs w:val="20"/>
        </w:rPr>
        <w:t xml:space="preserve"> (</w:t>
      </w:r>
      <w:r>
        <w:rPr>
          <w:rFonts w:ascii="Arial" w:hAnsi="Arial" w:cs="Arial"/>
          <w:i/>
          <w:iCs/>
          <w:sz w:val="20"/>
          <w:szCs w:val="20"/>
        </w:rPr>
        <w:t>Prote philosophia</w:t>
      </w:r>
      <w:r>
        <w:rPr>
          <w:rFonts w:ascii="Arial" w:hAnsi="Arial" w:cs="Arial"/>
          <w:sz w:val="20"/>
          <w:szCs w:val="20"/>
        </w:rPr>
        <w:t xml:space="preserve">), were given the title </w:t>
      </w:r>
      <w:r>
        <w:rPr>
          <w:rFonts w:ascii="Arial" w:hAnsi="Arial" w:cs="Arial"/>
          <w:i/>
          <w:iCs/>
          <w:sz w:val="20"/>
          <w:szCs w:val="20"/>
        </w:rPr>
        <w:t>Metaphysics</w:t>
      </w:r>
      <w:r>
        <w:rPr>
          <w:rFonts w:ascii="Arial" w:hAnsi="Arial" w:cs="Arial"/>
          <w:sz w:val="20"/>
          <w:szCs w:val="20"/>
        </w:rPr>
        <w:t xml:space="preserve"> in the first published edition of his works (60? BC), because in that edition they followed </w:t>
      </w:r>
      <w:r>
        <w:rPr>
          <w:rFonts w:ascii="Arial" w:hAnsi="Arial" w:cs="Arial"/>
          <w:i/>
          <w:iCs/>
          <w:sz w:val="20"/>
          <w:szCs w:val="20"/>
        </w:rPr>
        <w:t>Physics.</w:t>
      </w:r>
      <w:r>
        <w:rPr>
          <w:rFonts w:ascii="Arial" w:hAnsi="Arial" w:cs="Arial"/>
          <w:sz w:val="20"/>
          <w:szCs w:val="20"/>
        </w:rPr>
        <w:t xml:space="preserve"> His treatment of the Prime Mover, or first cause, as pure intellect, perfect in unity, immutable, and, as he said, "the thought of thought," is given in the </w:t>
      </w:r>
      <w:r>
        <w:rPr>
          <w:rFonts w:ascii="Arial" w:hAnsi="Arial" w:cs="Arial"/>
          <w:i/>
          <w:iCs/>
          <w:sz w:val="20"/>
          <w:szCs w:val="20"/>
        </w:rPr>
        <w:t>Metaphysics.</w:t>
      </w:r>
    </w:p>
    <w:p w:rsidR="006A58AC" w:rsidRDefault="006A58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8"/>
          <w:szCs w:val="28"/>
        </w:rPr>
        <w:tab/>
      </w:r>
      <w:r>
        <w:rPr>
          <w:rFonts w:ascii="Arial" w:hAnsi="Arial" w:cs="Arial"/>
          <w:color w:val="FF0000"/>
          <w:sz w:val="40"/>
          <w:szCs w:val="40"/>
        </w:rPr>
        <w:t>Pinocchio</w:t>
      </w: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Arial" w:hAnsi="Arial" w:cs="Arial"/>
          <w:sz w:val="20"/>
          <w:szCs w:val="20"/>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Pelagius denied the existence of original sin and the need for infant baptism. He argued that the corruption of the human race is not inborn, but is due to bad example and habit, and that the natural faculties of humanity were not adversely affected by Adam's fall. Human beings can lead lives of righteousness and thereby merit heaven by their own efforts. Pelagius asserted that true grace lies in the natural gifts of humanity, including free will, reason, and conscience. He also recognized what he called external graces, including the Mosaic law and the teaching and example of Christ, which stimulate the will from the outside but have no indwelling divine power. For Pelagius, faith and dogma hardly matter because the essence of religion is moral action. His belief in the moral perfectibility of humanity was evidently derived from Stoicism.</w:t>
      </w: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Although the Universal Declaration of Human Rights, adopted by the United Nations General Assembly in 1948, says nothing explicitly about the right of freedom from censorship, certain articles, if strictly observed, would tend to mitigate the rigor of censorship in nondemocratic countries. Among such provisions are those that prohibit interference with a person's home, family, privacy, or correspondence, and those that provide for the right to freedom of thought, conscience, religion, opinion, and expression without interference. Thus, the worldwide struggle for human rights often involves problems of censorship as well as the fate of those dissidents who are its victims.</w:t>
      </w: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For Paul, the scrupulous conscience brings not only illumination but also agony: It relentlessly exposes the inner battle that human beings must wage against their own impulses (Romans 7:15-20). The Fathers of the Church—and Saint Augustine in particular—maintained Paul's view that conscience is an inner witness to divine law and that it is common to all human beings.</w:t>
      </w: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The judgment of one's state of grace obviously belongs only to the person involved, since it is a question of examining one's conscience. However, in cases of outward conduct which is seriously, clearly and steadfastly contrary to the moral norm, the Church, in her pastoral concern for the good order of the community and out of respect for the sacrament, cannot fail to feel directly involved. The Code of Canon Law refers to this situation of a manifest lack of proper moral disposition when it states that those who 'obstinately persist in manifest grave sin' are not to be admitted to Eucharistic communion.</w:t>
      </w: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1660 Taylor was appointed bishop of Down and Connor—and later Dromore—Ireland, and vice-chancellor of Trinity College, Dublin. In the same year he published his </w:t>
      </w:r>
      <w:r>
        <w:rPr>
          <w:rFonts w:ascii="Arial" w:hAnsi="Arial" w:cs="Arial"/>
          <w:i/>
          <w:iCs/>
          <w:sz w:val="20"/>
          <w:szCs w:val="20"/>
        </w:rPr>
        <w:t>Ductor Dubitantium, or the Rule of Conscience,</w:t>
      </w:r>
      <w:r>
        <w:rPr>
          <w:rFonts w:ascii="Arial" w:hAnsi="Arial" w:cs="Arial"/>
          <w:sz w:val="20"/>
          <w:szCs w:val="20"/>
        </w:rPr>
        <w:t xml:space="preserve"> an extensive manual of moral theology. Although he faced strong opposition from local Presbyterians and Roman Catholics, Taylor refused to compromise his stand against non-Anglicans. He died in Lisburn, Ireland, on August 13, 1667.</w:t>
      </w:r>
    </w:p>
    <w:p w:rsidR="006A58AC" w:rsidRDefault="006A58AC">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Times New Roman" w:hAnsi="Times New Roman" w:cs="Times New Roman"/>
          <w:sz w:val="24"/>
          <w:szCs w:val="24"/>
        </w:rPr>
      </w:pPr>
    </w:p>
    <w:p w:rsidR="006A58AC" w:rsidRDefault="006A58AC">
      <w:pPr>
        <w:widowControl w:val="0"/>
        <w:autoSpaceDE w:val="0"/>
        <w:autoSpaceDN w:val="0"/>
        <w:adjustRightInd w:val="0"/>
        <w:spacing w:after="0" w:line="240" w:lineRule="auto"/>
        <w:rPr>
          <w:rFonts w:ascii="Arial" w:hAnsi="Arial" w:cs="Arial"/>
          <w:sz w:val="28"/>
          <w:szCs w:val="28"/>
        </w:rPr>
      </w:pPr>
    </w:p>
    <w:p w:rsidR="006A58AC" w:rsidRDefault="006A58AC">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8"/>
          <w:szCs w:val="28"/>
        </w:rPr>
        <w:t>Hobbes's philosophy represents a reaction against the liberty of conscience of the Reformation, which, he contended, brought anarchy.</w:t>
      </w:r>
    </w:p>
    <w:sectPr w:rsidR="006A58AC" w:rsidSect="006A58AC">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8AC" w:rsidRDefault="006A58AC" w:rsidP="006A58AC">
      <w:pPr>
        <w:spacing w:after="0" w:line="240" w:lineRule="auto"/>
      </w:pPr>
      <w:r>
        <w:separator/>
      </w:r>
    </w:p>
  </w:endnote>
  <w:endnote w:type="continuationSeparator" w:id="0">
    <w:p w:rsidR="006A58AC" w:rsidRDefault="006A58AC" w:rsidP="006A58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8AC" w:rsidRDefault="006A58A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8AC" w:rsidRDefault="006A58AC" w:rsidP="006A58AC">
      <w:pPr>
        <w:spacing w:after="0" w:line="240" w:lineRule="auto"/>
      </w:pPr>
      <w:r>
        <w:separator/>
      </w:r>
    </w:p>
  </w:footnote>
  <w:footnote w:type="continuationSeparator" w:id="0">
    <w:p w:rsidR="006A58AC" w:rsidRDefault="006A58AC" w:rsidP="006A58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8AC" w:rsidRDefault="006A58A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8AC"/>
    <w:rsid w:val="00132B16"/>
    <w:rsid w:val="006A58A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3522</Words>
  <Characters>20079</Characters>
  <Application>Microsoft Office Word</Application>
  <DocSecurity>0</DocSecurity>
  <Lines>167</Lines>
  <Paragraphs>47</Paragraphs>
  <ScaleCrop>false</ScaleCrop>
  <Company/>
  <LinksUpToDate>false</LinksUpToDate>
  <CharactersWithSpaces>23554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2019-06-04T00:36:00Z</dcterms:created>
  <dcterms:modified xsi:type="dcterms:W3CDTF">2019-06-04T00:36:00Z</dcterms:modified>
</cp:coreProperties>
</file>